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/>
      </w:pP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COMISSÃO DE DEFESA DOS DIREITOS HUMANOS DA MULHER, DA CRIANÇA, DO ADOLESCENTE, DO IDOSO E DA PESSOA COM DEFICIÊNCIA</w:t>
      </w:r>
    </w:p>
    <w:p>
      <w:pPr>
        <w:pStyle w:val="Ttulododocumento"/>
        <w:rPr>
          <w:rFonts w:ascii="Garamond" w:hAnsi="Garamond"/>
          <w:b/>
          <w:b/>
          <w:sz w:val="26"/>
          <w:szCs w:val="26"/>
        </w:rPr>
      </w:pPr>
      <w:r>
        <w:rPr/>
      </w:r>
    </w:p>
    <w:p>
      <w:pPr>
        <w:pStyle w:val="Ttulododocumento"/>
        <w:rPr/>
      </w:pPr>
      <w:r>
        <w:rPr>
          <w:rFonts w:ascii="Garamond" w:hAnsi="Garamond"/>
          <w:b/>
          <w:sz w:val="26"/>
          <w:szCs w:val="26"/>
        </w:rPr>
        <w:t>PARECER Nº007/2018</w:t>
      </w:r>
    </w:p>
    <w:p>
      <w:pPr>
        <w:pStyle w:val="Ttulododocumento"/>
        <w:jc w:val="left"/>
        <w:rPr>
          <w:rFonts w:ascii="Garamond" w:hAnsi="Garamond"/>
          <w:i/>
          <w:i/>
          <w:sz w:val="26"/>
          <w:szCs w:val="26"/>
          <w:u w:val="single"/>
        </w:rPr>
      </w:pPr>
      <w:r>
        <w:rPr>
          <w:rFonts w:ascii="Garamond" w:hAnsi="Garamond"/>
          <w:i/>
          <w:sz w:val="26"/>
          <w:szCs w:val="26"/>
          <w:u w:val="single"/>
        </w:rPr>
      </w:r>
    </w:p>
    <w:p>
      <w:pPr>
        <w:pStyle w:val="Normal"/>
        <w:ind w:left="2268" w:hanging="0"/>
        <w:jc w:val="both"/>
        <w:rPr/>
      </w:pPr>
      <w:r>
        <w:rPr>
          <w:rFonts w:ascii="Garamond" w:hAnsi="Garamond"/>
          <w:sz w:val="26"/>
          <w:szCs w:val="26"/>
          <w:shd w:fill="FFFFFF" w:val="clear"/>
        </w:rPr>
        <w:t xml:space="preserve">AO PROJETO DE LEI DO LEGISLATIVO Nº 180/2017, QUE INSTITUI A CRIAÇÃO DAS ESCOLAS DA REDE MUNICIPAL DE EDUCAÇÃO BILÍNGUE PARA SURDOS NO ÂMBITO DO MUNICÍPIO DE MOSSORÓ. </w:t>
      </w:r>
    </w:p>
    <w:p>
      <w:pPr>
        <w:pStyle w:val="Normal"/>
        <w:ind w:left="4253" w:hanging="4253"/>
        <w:jc w:val="center"/>
        <w:rPr>
          <w:rFonts w:ascii="Garamond" w:hAnsi="Garamond"/>
          <w:b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</w:r>
    </w:p>
    <w:p>
      <w:pPr>
        <w:pStyle w:val="Normal"/>
        <w:ind w:left="4253" w:hanging="4253"/>
        <w:jc w:val="center"/>
        <w:rPr>
          <w:rFonts w:ascii="Garamond" w:hAnsi="Garamond"/>
          <w:b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I – Relatório</w:t>
      </w:r>
    </w:p>
    <w:p>
      <w:pPr>
        <w:pStyle w:val="Normal"/>
        <w:jc w:val="both"/>
        <w:rPr>
          <w:rFonts w:ascii="Garamond" w:hAnsi="Garamond"/>
          <w:b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</w:r>
    </w:p>
    <w:p>
      <w:pPr>
        <w:pStyle w:val="Ttulododocumento"/>
        <w:tabs>
          <w:tab w:val="left" w:pos="0" w:leader="none"/>
        </w:tabs>
        <w:ind w:firstLine="1134"/>
        <w:jc w:val="both"/>
        <w:rPr/>
      </w:pPr>
      <w:r>
        <w:rPr>
          <w:rFonts w:ascii="Garamond" w:hAnsi="Garamond"/>
          <w:sz w:val="26"/>
          <w:szCs w:val="26"/>
        </w:rPr>
        <w:t>A proposição ora relatada busca instituir a criação de escolas bilíngues no âmbito das escolas municipais, para crianças e jovens com surdez, com surdez associada a outras deficiências, limitações, condições ou disfunções, e surdo-cegueira, cujos pais do aluno optarem por esse serviço.</w:t>
      </w:r>
    </w:p>
    <w:p>
      <w:pPr>
        <w:pStyle w:val="Ttulododocumento"/>
        <w:tabs>
          <w:tab w:val="left" w:pos="0" w:leader="none"/>
        </w:tabs>
        <w:ind w:firstLine="1134"/>
        <w:jc w:val="both"/>
        <w:rPr/>
      </w:pPr>
      <w:r>
        <w:rPr>
          <w:rFonts w:ascii="Garamond" w:hAnsi="Garamond"/>
          <w:sz w:val="26"/>
          <w:szCs w:val="26"/>
        </w:rPr>
        <w:t>O projeto especifica quais os parâmetros e objetivos das escolas fins do projeto em questão.</w:t>
      </w:r>
    </w:p>
    <w:p>
      <w:pPr>
        <w:pStyle w:val="Ttulododocumento"/>
        <w:tabs>
          <w:tab w:val="left" w:pos="0" w:leader="none"/>
        </w:tabs>
        <w:ind w:firstLine="1134"/>
        <w:jc w:val="both"/>
        <w:rPr/>
      </w:pPr>
      <w:r>
        <w:rPr>
          <w:rFonts w:ascii="Garamond" w:hAnsi="Garamond"/>
          <w:sz w:val="26"/>
          <w:szCs w:val="26"/>
        </w:rPr>
        <w:t>Traz, ainda, diretrizes educacionais e requisitos para os profissionais que atuarão nas escolas objetos deste projeto.</w:t>
      </w:r>
    </w:p>
    <w:p>
      <w:pPr>
        <w:pStyle w:val="Normal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tulododocumento"/>
        <w:tabs>
          <w:tab w:val="left" w:pos="567" w:leader="none"/>
        </w:tabs>
        <w:rPr>
          <w:rFonts w:ascii="Garamond" w:hAnsi="Garamond"/>
          <w:b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>II- Voto do Relator</w:t>
      </w:r>
    </w:p>
    <w:p>
      <w:pPr>
        <w:pStyle w:val="Ttulododocumento"/>
        <w:tabs>
          <w:tab w:val="left" w:pos="567" w:leader="none"/>
        </w:tabs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tulododocumento"/>
        <w:tabs>
          <w:tab w:val="left" w:pos="567" w:leader="none"/>
        </w:tabs>
        <w:ind w:firstLine="1418"/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>O projeto de lei busca promover a educação e inclusão plena de surdos em nossa sociedade, oportunizando iguais condições educacionais, trazendo a realidade do Poder Público municipal o que já esta estabelecido em nossa carta magna.</w:t>
      </w:r>
    </w:p>
    <w:p>
      <w:pPr>
        <w:pStyle w:val="Ttulododocumento"/>
        <w:tabs>
          <w:tab w:val="left" w:pos="567" w:leader="none"/>
        </w:tabs>
        <w:ind w:firstLine="1418"/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>Sobre o tema, destacamos o seguinte em nossa legislação vigente:</w:t>
      </w:r>
    </w:p>
    <w:p>
      <w:pPr>
        <w:pStyle w:val="Ttulododocumento"/>
        <w:tabs>
          <w:tab w:val="left" w:pos="567" w:leader="none"/>
        </w:tabs>
        <w:ind w:firstLine="1418"/>
        <w:jc w:val="both"/>
        <w:rPr>
          <w:rFonts w:ascii="GaRAMOND" w:hAnsi="GaRAMOND" w:cs="Arial"/>
          <w:color w:val="000000"/>
        </w:rPr>
      </w:pPr>
      <w:r>
        <w:rPr>
          <w:rFonts w:cs="Arial" w:ascii="GaRAMOND" w:hAnsi="GaRAMOND"/>
          <w:color w:val="000000"/>
        </w:rPr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color w:val="00000A"/>
          <w:kern w:val="0"/>
          <w:sz w:val="26"/>
          <w:szCs w:val="26"/>
          <w:lang w:val="pt-BR" w:eastAsia="pt-BR" w:bidi="ar-SA"/>
        </w:rPr>
      </w:pPr>
      <w:r>
        <w:rPr>
          <w:rFonts w:eastAsia="Times New Roman" w:cs="Times New Roman" w:ascii="Garamond" w:hAnsi="Garamond"/>
          <w:b w:val="false"/>
          <w:i w:val="false"/>
          <w:caps w:val="false"/>
          <w:smallCaps w:val="false"/>
          <w:color w:val="00000A"/>
          <w:spacing w:val="0"/>
          <w:kern w:val="0"/>
          <w:sz w:val="26"/>
          <w:szCs w:val="26"/>
          <w:lang w:val="pt-BR" w:eastAsia="pt-BR" w:bidi="ar-SA"/>
        </w:rPr>
        <w:t>Na constituição Federal, temos o seguinte: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kern w:val="0"/>
          <w:sz w:val="26"/>
          <w:szCs w:val="26"/>
          <w:lang w:val="pt-BR" w:eastAsia="pt-BR" w:bidi="ar-SA"/>
        </w:rPr>
      </w:pPr>
      <w:r>
        <w:rPr>
          <w:rFonts w:eastAsia="Times New Roman" w:cs="Times New Roman" w:ascii="Garamond" w:hAnsi="Garamond"/>
          <w:b w:val="false"/>
          <w:i w:val="false"/>
          <w:caps w:val="false"/>
          <w:smallCaps w:val="false"/>
          <w:color w:val="00000A"/>
          <w:spacing w:val="0"/>
          <w:kern w:val="0"/>
          <w:sz w:val="26"/>
          <w:szCs w:val="26"/>
          <w:lang w:val="pt-BR" w:eastAsia="pt-BR" w:bidi="ar-SA"/>
        </w:rPr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sz w:val="22"/>
          <w:szCs w:val="22"/>
        </w:rPr>
      </w:pPr>
      <w:r>
        <w:rPr>
          <w:rFonts w:eastAsia="Times New Roman" w:cs="Times New Roman" w:ascii="Garamond" w:hAnsi="Garamond"/>
          <w:b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ar-SA"/>
        </w:rPr>
        <w:t>Art. 23. É competência comum da União, dos Estados, do Distrito Federal e dos Municípios:</w:t>
      </w: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lang w:val="pt-BR" w:eastAsia="pt-BR" w:bidi="ar-SA"/>
        </w:rPr>
        <w:t xml:space="preserve"> 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b/>
          <w:b/>
          <w:color w:val="00000A"/>
          <w:kern w:val="0"/>
          <w:sz w:val="22"/>
          <w:szCs w:val="22"/>
          <w:lang w:val="pt-BR" w:eastAsia="pt-BR" w:bidi="ar-SA"/>
        </w:rPr>
      </w:pPr>
      <w:r>
        <w:rPr>
          <w:rFonts w:eastAsia="Times New Roman" w:cs="Times New Roman" w:ascii="Garamond" w:hAnsi="Garamond"/>
          <w:b/>
          <w:color w:val="00000A"/>
          <w:kern w:val="0"/>
          <w:sz w:val="22"/>
          <w:szCs w:val="22"/>
          <w:lang w:val="pt-BR" w:eastAsia="pt-BR" w:bidi="ar-SA"/>
        </w:rPr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sz w:val="22"/>
          <w:szCs w:val="22"/>
        </w:rPr>
      </w:pPr>
      <w:r>
        <w:rPr>
          <w:rFonts w:eastAsia="Times New Roman" w:cs="Times New Roman" w:ascii="Garamond" w:hAnsi="Garamond"/>
          <w:b/>
          <w:color w:val="00000A"/>
          <w:kern w:val="0"/>
          <w:sz w:val="22"/>
          <w:szCs w:val="22"/>
          <w:lang w:val="pt-BR" w:eastAsia="pt-BR" w:bidi="ar-SA"/>
        </w:rPr>
        <w:t>(…)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b/>
          <w:b/>
          <w:color w:val="00000A"/>
          <w:kern w:val="0"/>
          <w:sz w:val="22"/>
          <w:szCs w:val="22"/>
          <w:lang w:val="pt-BR" w:eastAsia="pt-BR" w:bidi="ar-SA"/>
        </w:rPr>
      </w:pPr>
      <w:r>
        <w:rPr>
          <w:rFonts w:eastAsia="Times New Roman" w:cs="Times New Roman" w:ascii="Garamond" w:hAnsi="Garamond"/>
          <w:b/>
          <w:color w:val="00000A"/>
          <w:kern w:val="0"/>
          <w:sz w:val="22"/>
          <w:szCs w:val="22"/>
          <w:lang w:val="pt-BR" w:eastAsia="pt-BR" w:bidi="ar-SA"/>
        </w:rPr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sz w:val="22"/>
          <w:szCs w:val="22"/>
        </w:rPr>
      </w:pPr>
      <w:r>
        <w:rPr>
          <w:rFonts w:eastAsia="Times New Roman" w:cs="Times New Roman" w:ascii="Garamond" w:hAnsi="Garamond"/>
          <w:b w:val="false"/>
          <w:i w:val="false"/>
          <w:caps w:val="false"/>
          <w:smallCaps w:val="false"/>
          <w:color w:val="00000A"/>
          <w:spacing w:val="0"/>
          <w:kern w:val="0"/>
          <w:sz w:val="22"/>
          <w:szCs w:val="22"/>
          <w:lang w:val="pt-BR" w:eastAsia="pt-BR" w:bidi="ar-SA"/>
        </w:rPr>
        <w:t>V - proporcionar os meios de acesso à cultura, à educação, à ciência, à tecnologia, à pesquisa e à inovação;</w:t>
      </w:r>
      <w:r>
        <w:rPr>
          <w:rFonts w:eastAsia="Times New Roman" w:cs="Times New Roman" w:ascii="Garamond" w:hAnsi="Garamond"/>
          <w:b/>
          <w:color w:val="00000A"/>
          <w:kern w:val="0"/>
          <w:sz w:val="22"/>
          <w:szCs w:val="22"/>
          <w:lang w:val="pt-BR" w:eastAsia="pt-BR" w:bidi="ar-SA"/>
        </w:rPr>
        <w:t xml:space="preserve"> 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color w:val="00000A"/>
          <w:kern w:val="0"/>
          <w:sz w:val="22"/>
          <w:szCs w:val="22"/>
          <w:lang w:val="pt-BR" w:eastAsia="pt-BR" w:bidi="ar-SA"/>
        </w:rPr>
      </w:pP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lang w:val="pt-BR" w:eastAsia="pt-BR" w:bidi="ar-SA"/>
        </w:rPr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color w:val="00000A"/>
          <w:kern w:val="0"/>
          <w:sz w:val="22"/>
          <w:szCs w:val="22"/>
          <w:lang w:val="pt-BR" w:eastAsia="pt-BR" w:bidi="ar-SA"/>
        </w:rPr>
      </w:pP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highlight w:val="white"/>
          <w:lang w:val="pt-BR" w:eastAsia="pt-BR" w:bidi="ar-SA"/>
        </w:rPr>
        <w:t>No Decreto 5.626, de 22 de Dezembro de 2005, temos: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Times New Roman"/>
          <w:color w:val="00000A"/>
          <w:kern w:val="0"/>
          <w:sz w:val="22"/>
          <w:szCs w:val="22"/>
          <w:highlight w:val="white"/>
          <w:lang w:val="pt-BR" w:eastAsia="pt-BR" w:bidi="ar-SA"/>
        </w:rPr>
      </w:pPr>
      <w:r>
        <w:rPr>
          <w:rFonts w:eastAsia="Times New Roman" w:cs="Times New Roman" w:ascii="Garamond" w:hAnsi="Garamond"/>
          <w:color w:val="00000A"/>
          <w:kern w:val="0"/>
          <w:sz w:val="22"/>
          <w:szCs w:val="22"/>
          <w:highlight w:val="white"/>
          <w:lang w:val="pt-BR" w:eastAsia="pt-BR" w:bidi="ar-SA"/>
        </w:rPr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Arial"/>
          <w:b w:val="false"/>
          <w:b w:val="false"/>
          <w:bCs w:val="false"/>
          <w:color w:val="000000"/>
          <w:sz w:val="22"/>
          <w:szCs w:val="22"/>
          <w:lang w:eastAsia="pt-BR"/>
        </w:rPr>
      </w:pPr>
      <w:r>
        <w:rPr>
          <w:rFonts w:eastAsia="Times New Roman" w:cs="Times New Roman" w:ascii="Garamond" w:hAnsi="Garamond"/>
          <w:b w:val="false"/>
          <w:bCs w:val="false"/>
          <w:color w:val="00000A"/>
          <w:kern w:val="0"/>
          <w:sz w:val="22"/>
          <w:szCs w:val="22"/>
          <w:highlight w:val="white"/>
          <w:lang w:val="pt-BR" w:eastAsia="pt-BR" w:bidi="ar-SA"/>
        </w:rPr>
        <w:t>(…)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/>
          <w:highlight w:val="white"/>
        </w:rPr>
      </w:pPr>
      <w:r>
        <w:rPr>
          <w:rFonts w:ascii="GaRAMOND" w:hAnsi="GaRAMOND"/>
          <w:highlight w:val="white"/>
        </w:rPr>
      </w:r>
    </w:p>
    <w:p>
      <w:pPr>
        <w:pStyle w:val="Corpodetexto"/>
        <w:tabs>
          <w:tab w:val="left" w:pos="567" w:leader="none"/>
        </w:tabs>
        <w:ind w:left="2268" w:hanging="0"/>
        <w:jc w:val="both"/>
        <w:rPr>
          <w:rFonts w:ascii="Garamond" w:hAnsi="Garamond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pt-BR"/>
        </w:rPr>
      </w:pPr>
      <w:r>
        <w:rPr>
          <w:rFonts w:eastAsia="Times New Roman" w:cs="Arial" w:ascii="GaRAMOND" w:hAnsi="GaRAMOND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highlight w:val="white"/>
          <w:lang w:eastAsia="pt-BR"/>
        </w:rPr>
        <w:t>Art. 22.  As  instituições federais de ensino responsáveis pela educação básica devem garantir a inclusão de alunos surdos ou com deficiência auditiva, por meio da organização de:</w:t>
      </w:r>
    </w:p>
    <w:p>
      <w:pPr>
        <w:pStyle w:val="Corpodetexto"/>
        <w:widowControl/>
        <w:bidi w:val="0"/>
        <w:spacing w:lineRule="auto" w:line="288" w:before="0" w:after="140"/>
        <w:ind w:left="2551" w:right="0" w:hanging="0"/>
        <w:jc w:val="both"/>
        <w:rPr>
          <w:rFonts w:ascii="Garamond" w:hAnsi="Garamond" w:eastAsia="Times New Roman" w:cs="Arial"/>
          <w:b w:val="false"/>
          <w:b w:val="false"/>
          <w:bCs w:val="false"/>
          <w:caps w:val="false"/>
          <w:smallCaps w:val="false"/>
          <w:color w:val="000000"/>
          <w:spacing w:val="0"/>
          <w:sz w:val="22"/>
          <w:szCs w:val="22"/>
          <w:lang w:eastAsia="pt-BR"/>
        </w:rPr>
      </w:pPr>
      <w:r>
        <w:rPr>
          <w:rFonts w:eastAsia="Times New Roman" w:cs="Arial" w:ascii="GaRAMOND" w:hAnsi="GaRAMOND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pt-BR"/>
        </w:rPr>
        <w:t>I - escolas e classes de educação bilíngüe, abertas a alunos surdos e ouvintes, com professores bilíngües, na educação infantil e nos anos iniciais do ensino fundamental;</w:t>
      </w:r>
    </w:p>
    <w:p>
      <w:pPr>
        <w:pStyle w:val="Ttulododocumento"/>
        <w:tabs>
          <w:tab w:val="left" w:pos="567" w:leader="none"/>
        </w:tabs>
        <w:ind w:left="2268" w:hanging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</w:r>
    </w:p>
    <w:p>
      <w:pPr>
        <w:pStyle w:val="Ttulododocumento"/>
        <w:tabs>
          <w:tab w:val="left" w:pos="567" w:leader="none"/>
        </w:tabs>
        <w:ind w:firstLine="1418"/>
        <w:jc w:val="both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t xml:space="preserve">Estabelecendo ao Poder Executivo municipal essas atribuições, o legislador confere mais garantias e oportunidades aos surdos no âmbito educacional do Município de Mossoró, trazendo para o espectro municipal o que já </w:t>
      </w:r>
      <w:r>
        <w:rPr>
          <w:rFonts w:ascii="GaRAMOND" w:hAnsi="GaRAMOND"/>
          <w:sz w:val="26"/>
          <w:szCs w:val="26"/>
        </w:rPr>
        <w:t>está disposto</w:t>
      </w:r>
      <w:r>
        <w:rPr>
          <w:rFonts w:ascii="GaRAMOND" w:hAnsi="GaRAMOND"/>
          <w:sz w:val="26"/>
          <w:szCs w:val="26"/>
        </w:rPr>
        <w:t xml:space="preserve"> na esfera federal.</w:t>
      </w:r>
    </w:p>
    <w:p>
      <w:pPr>
        <w:pStyle w:val="Ttulododocumento"/>
        <w:tabs>
          <w:tab w:val="left" w:pos="567" w:leader="none"/>
        </w:tabs>
        <w:ind w:firstLine="141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Sou pela sua </w:t>
      </w:r>
      <w:r>
        <w:rPr>
          <w:rFonts w:ascii="GaRAMOND" w:hAnsi="GaRAMOND"/>
          <w:b/>
          <w:sz w:val="26"/>
          <w:szCs w:val="26"/>
        </w:rPr>
        <w:t>APROVAÇÃO.</w:t>
      </w:r>
    </w:p>
    <w:p>
      <w:pPr>
        <w:pStyle w:val="Normal"/>
        <w:tabs>
          <w:tab w:val="left" w:pos="567" w:leader="none"/>
        </w:tabs>
        <w:rPr>
          <w:rFonts w:ascii="GaRAMOND" w:hAnsi="GaRAMOND"/>
          <w:b/>
          <w:b/>
          <w:sz w:val="26"/>
        </w:rPr>
      </w:pPr>
      <w:r>
        <w:rPr>
          <w:rFonts w:ascii="GaRAMOND" w:hAnsi="GaRAMOND"/>
          <w:b/>
          <w:sz w:val="26"/>
        </w:rPr>
      </w:r>
    </w:p>
    <w:p>
      <w:pPr>
        <w:pStyle w:val="Normal"/>
        <w:tabs>
          <w:tab w:val="left" w:pos="567" w:leader="none"/>
        </w:tabs>
        <w:spacing w:before="0" w:after="0"/>
        <w:ind w:firstLine="1134"/>
        <w:jc w:val="right"/>
        <w:rPr>
          <w:b w:val="false"/>
          <w:b w:val="false"/>
          <w:bCs w:val="false"/>
          <w:sz w:val="26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Sala das Comissões, </w:t>
      </w:r>
      <w:r>
        <w:rPr>
          <w:rFonts w:cs="Times New Roman"/>
          <w:b w:val="false"/>
          <w:bCs w:val="false"/>
          <w:sz w:val="24"/>
          <w:szCs w:val="24"/>
        </w:rPr>
        <w:t>14</w:t>
      </w:r>
      <w:r>
        <w:rPr>
          <w:rFonts w:cs="Times New Roman"/>
          <w:b w:val="false"/>
          <w:bCs w:val="false"/>
          <w:sz w:val="24"/>
          <w:szCs w:val="24"/>
        </w:rPr>
        <w:t xml:space="preserve"> de </w:t>
      </w:r>
      <w:r>
        <w:rPr>
          <w:rFonts w:cs="Times New Roman"/>
          <w:b w:val="false"/>
          <w:bCs w:val="false"/>
          <w:sz w:val="24"/>
          <w:szCs w:val="24"/>
        </w:rPr>
        <w:t>junho</w:t>
      </w:r>
      <w:r>
        <w:rPr>
          <w:rFonts w:cs="Times New Roman"/>
          <w:b w:val="false"/>
          <w:bCs w:val="false"/>
          <w:sz w:val="24"/>
          <w:szCs w:val="24"/>
        </w:rPr>
        <w:t xml:space="preserve"> de 201</w:t>
      </w:r>
      <w:r>
        <w:rPr>
          <w:rFonts w:cs="Times New Roman"/>
          <w:b w:val="false"/>
          <w:bCs w:val="false"/>
          <w:sz w:val="24"/>
          <w:szCs w:val="24"/>
        </w:rPr>
        <w:t>8</w:t>
      </w:r>
      <w:r>
        <w:rPr>
          <w:rFonts w:cs="Times New Roman"/>
          <w:b w:val="false"/>
          <w:bCs w:val="false"/>
          <w:sz w:val="24"/>
          <w:szCs w:val="24"/>
        </w:rPr>
        <w:t>.</w:t>
      </w:r>
    </w:p>
    <w:p>
      <w:pPr>
        <w:pStyle w:val="Normal"/>
        <w:tabs>
          <w:tab w:val="left" w:pos="567" w:leader="none"/>
        </w:tabs>
        <w:spacing w:before="0"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sz w:val="26"/>
        </w:rPr>
      </w:r>
    </w:p>
    <w:p>
      <w:pPr>
        <w:pStyle w:val="Normal"/>
        <w:tabs>
          <w:tab w:val="left" w:pos="567" w:leader="none"/>
        </w:tabs>
        <w:spacing w:before="0"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  <w:sz w:val="26"/>
        </w:rPr>
      </w:r>
    </w:p>
    <w:p>
      <w:pPr>
        <w:pStyle w:val="Normal"/>
        <w:tabs>
          <w:tab w:val="left" w:pos="567" w:leader="none"/>
        </w:tabs>
        <w:rPr/>
      </w:pPr>
      <w:r>
        <w:rPr/>
      </w:r>
    </w:p>
    <w:p>
      <w:pPr>
        <w:pStyle w:val="Normal"/>
        <w:tabs>
          <w:tab w:val="left" w:pos="567" w:leader="none"/>
        </w:tabs>
        <w:jc w:val="center"/>
        <w:rPr/>
      </w:pPr>
      <w:r>
        <w:rPr>
          <w:b/>
          <w:sz w:val="26"/>
        </w:rPr>
        <w:t>____________________</w:t>
      </w:r>
    </w:p>
    <w:p>
      <w:pPr>
        <w:pStyle w:val="Normal"/>
        <w:tabs>
          <w:tab w:val="left" w:pos="567" w:leader="none"/>
        </w:tabs>
        <w:jc w:val="center"/>
        <w:rPr/>
      </w:pPr>
      <w:r>
        <w:rPr>
          <w:b/>
          <w:sz w:val="26"/>
        </w:rPr>
        <w:t>Isolda Dantas</w:t>
      </w:r>
    </w:p>
    <w:p>
      <w:pPr>
        <w:pStyle w:val="Normal"/>
        <w:tabs>
          <w:tab w:val="left" w:pos="567" w:leader="none"/>
        </w:tabs>
        <w:jc w:val="center"/>
        <w:rPr/>
      </w:pPr>
      <w:r>
        <w:rPr>
          <w:b/>
          <w:sz w:val="26"/>
        </w:rPr>
        <w:t>Relatora</w:t>
      </w:r>
    </w:p>
    <w:p>
      <w:pPr>
        <w:pStyle w:val="Normal"/>
        <w:tabs>
          <w:tab w:val="left" w:pos="567" w:leader="none"/>
        </w:tabs>
        <w:jc w:val="center"/>
        <w:rPr>
          <w:b/>
          <w:b/>
          <w:sz w:val="26"/>
        </w:rPr>
      </w:pPr>
      <w:r>
        <w:rPr/>
      </w:r>
    </w:p>
    <w:p>
      <w:pPr>
        <w:pStyle w:val="Normal"/>
        <w:tabs>
          <w:tab w:val="left" w:pos="567" w:leader="none"/>
        </w:tabs>
        <w:jc w:val="center"/>
        <w:rPr>
          <w:b/>
          <w:b/>
          <w:sz w:val="26"/>
        </w:rPr>
      </w:pPr>
      <w:r>
        <w:rPr/>
      </w:r>
    </w:p>
    <w:p>
      <w:pPr>
        <w:pStyle w:val="Normal"/>
        <w:tabs>
          <w:tab w:val="left" w:pos="567" w:leader="none"/>
        </w:tabs>
        <w:jc w:val="center"/>
        <w:rPr>
          <w:b/>
          <w:b/>
          <w:sz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/>
          <w:sz w:val="24"/>
          <w:szCs w:val="24"/>
        </w:rPr>
        <w:t>III- PARECER DA COMISSÃO</w:t>
      </w:r>
    </w:p>
    <w:p>
      <w:pPr>
        <w:pStyle w:val="Normal"/>
        <w:spacing w:before="0" w:after="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firstLine="1134"/>
        <w:jc w:val="both"/>
        <w:rPr/>
      </w:pPr>
      <w:r>
        <w:rPr>
          <w:sz w:val="24"/>
          <w:szCs w:val="24"/>
        </w:rPr>
        <w:t xml:space="preserve">A Comissão de Defesa dos Direitos Humanos da Mulher, da Criança, do Adolescente, do Idoso e da Pessoa com Deficiência, em reunião realizada na sala das sessões João Niceras de Morais, no dia </w:t>
      </w:r>
      <w:r>
        <w:rPr>
          <w:sz w:val="24"/>
          <w:szCs w:val="24"/>
        </w:rPr>
        <w:t>14</w:t>
      </w:r>
      <w:r>
        <w:rPr>
          <w:rFonts w:cs="Times New Roman"/>
          <w:sz w:val="24"/>
          <w:szCs w:val="24"/>
        </w:rPr>
        <w:t xml:space="preserve"> de </w:t>
      </w:r>
      <w:r>
        <w:rPr>
          <w:rFonts w:cs="Times New Roman"/>
          <w:sz w:val="24"/>
          <w:szCs w:val="24"/>
        </w:rPr>
        <w:t>junho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de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, aprovou, por maioria dos votos, o </w:t>
      </w:r>
      <w:bookmarkStart w:id="0" w:name="__DdeLink__166_3647939879"/>
      <w:r>
        <w:rPr>
          <w:sz w:val="24"/>
          <w:szCs w:val="24"/>
        </w:rPr>
        <w:t xml:space="preserve">parecer da relatora pela APROVAÇÃO do Projeto de Lei do Legislativo N° </w:t>
      </w:r>
      <w:r>
        <w:rPr>
          <w:sz w:val="24"/>
          <w:szCs w:val="24"/>
        </w:rPr>
        <w:t>180</w:t>
      </w:r>
      <w:r>
        <w:rPr>
          <w:sz w:val="24"/>
          <w:szCs w:val="24"/>
        </w:rPr>
        <w:t>/2017</w:t>
      </w:r>
      <w:bookmarkEnd w:id="0"/>
      <w:r>
        <w:rPr>
          <w:sz w:val="24"/>
          <w:szCs w:val="24"/>
        </w:rPr>
        <w:t>.</w:t>
      </w:r>
    </w:p>
    <w:p>
      <w:pPr>
        <w:pStyle w:val="Normal"/>
        <w:spacing w:before="0" w:after="0"/>
        <w:ind w:firstLine="1134"/>
        <w:jc w:val="right"/>
        <w:rPr/>
      </w:pPr>
      <w:r>
        <w:rPr>
          <w:rFonts w:cs="Times New Roman"/>
          <w:sz w:val="24"/>
          <w:szCs w:val="24"/>
        </w:rPr>
        <w:t xml:space="preserve">Sala das Comissões, </w:t>
      </w:r>
      <w:r>
        <w:rPr>
          <w:rFonts w:cs="Times New Roman"/>
          <w:sz w:val="24"/>
          <w:szCs w:val="24"/>
        </w:rPr>
        <w:t>14</w:t>
      </w:r>
      <w:r>
        <w:rPr>
          <w:rFonts w:cs="Times New Roman"/>
          <w:sz w:val="24"/>
          <w:szCs w:val="24"/>
        </w:rPr>
        <w:t xml:space="preserve"> de </w:t>
      </w:r>
      <w:r>
        <w:rPr>
          <w:rFonts w:cs="Times New Roman"/>
          <w:sz w:val="24"/>
          <w:szCs w:val="24"/>
        </w:rPr>
        <w:t>junho</w:t>
      </w:r>
      <w:r>
        <w:rPr>
          <w:rFonts w:cs="Times New Roman"/>
          <w:sz w:val="24"/>
          <w:szCs w:val="24"/>
        </w:rPr>
        <w:t xml:space="preserve"> de 201</w:t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/>
        </w:rPr>
        <w:t>__________________________________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b/>
          <w:smallCaps/>
          <w:sz w:val="28"/>
        </w:rPr>
        <w:t>ALINE COUTO</w:t>
      </w:r>
    </w:p>
    <w:p>
      <w:pPr>
        <w:pStyle w:val="Normal"/>
        <w:tabs>
          <w:tab w:val="left" w:pos="567" w:leader="none"/>
        </w:tabs>
        <w:spacing w:before="0" w:after="0"/>
        <w:jc w:val="center"/>
        <w:rPr/>
      </w:pPr>
      <w:r>
        <w:rPr>
          <w:rFonts w:cs="Times New Roman"/>
          <w:b/>
          <w:sz w:val="26"/>
        </w:rPr>
        <w:t>Secretária</w:t>
      </w:r>
    </w:p>
    <w:sectPr>
      <w:type w:val="nextPage"/>
      <w:pgSz w:w="11906" w:h="16838"/>
      <w:pgMar w:left="2268" w:right="850" w:header="0" w:top="3402" w:footer="0" w:bottom="142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GaRAMOND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d9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7">
    <w:name w:val="Heading 7"/>
    <w:basedOn w:val="Normal"/>
    <w:next w:val="Normal"/>
    <w:link w:val="Ttulo7Char"/>
    <w:qFormat/>
    <w:rsid w:val="00d56d97"/>
    <w:pPr>
      <w:keepNext w:val="true"/>
      <w:jc w:val="center"/>
      <w:outlineLvl w:val="6"/>
    </w:pPr>
    <w:rPr>
      <w:b/>
      <w:sz w:val="28"/>
      <w:u w:val="single"/>
    </w:rPr>
  </w:style>
  <w:style w:type="paragraph" w:styleId="Ttulo8">
    <w:name w:val="Heading 8"/>
    <w:basedOn w:val="Normal"/>
    <w:next w:val="Normal"/>
    <w:link w:val="Ttulo8Char"/>
    <w:qFormat/>
    <w:rsid w:val="00d56d97"/>
    <w:pPr>
      <w:keepNext w:val="true"/>
      <w:ind w:firstLine="1418"/>
      <w:jc w:val="both"/>
      <w:outlineLvl w:val="7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7Char" w:customStyle="1">
    <w:name w:val="Título 7 Char"/>
    <w:basedOn w:val="DefaultParagraphFont"/>
    <w:link w:val="Ttulo7"/>
    <w:qFormat/>
    <w:rsid w:val="00d56d97"/>
    <w:rPr>
      <w:rFonts w:ascii="Times New Roman" w:hAnsi="Times New Roman" w:eastAsia="Times New Roman" w:cs="Times New Roman"/>
      <w:b/>
      <w:sz w:val="28"/>
      <w:szCs w:val="20"/>
      <w:u w:val="single"/>
      <w:lang w:eastAsia="pt-BR"/>
    </w:rPr>
  </w:style>
  <w:style w:type="character" w:styleId="Ttulo8Char" w:customStyle="1">
    <w:name w:val="Título 8 Char"/>
    <w:basedOn w:val="DefaultParagraphFont"/>
    <w:link w:val="Ttulo8"/>
    <w:qFormat/>
    <w:rsid w:val="00d56d97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d56d97"/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link w:val="TtuloChar"/>
    <w:qFormat/>
    <w:rsid w:val="00d56d97"/>
    <w:pPr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1a6f6e"/>
    <w:pPr>
      <w:spacing w:beforeAutospacing="1" w:afterAutospacing="1"/>
    </w:pPr>
    <w:rPr>
      <w:sz w:val="24"/>
      <w:szCs w:val="24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LibreOffice/5.4.4.2$Windows_x86 LibreOffice_project/2524958677847fb3bb44820e40380acbe820f960</Application>
  <Pages>2</Pages>
  <Words>406</Words>
  <Characters>2185</Characters>
  <CharactersWithSpaces>2568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2017-12-15T13:01:00Z</dcterms:created>
  <dc:creator>Chagas</dc:creator>
  <dc:description/>
  <dc:language>pt-BR</dc:language>
  <cp:lastModifiedBy/>
  <cp:lastPrinted>2018-09-11T10:14:00Z</cp:lastPrinted>
  <dcterms:modified xsi:type="dcterms:W3CDTF">2018-09-11T10:16:17Z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